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left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</w:t>
      </w:r>
      <w:r>
        <w:rPr>
          <w:b/>
          <w:sz w:val="28"/>
          <w:szCs w:val="28"/>
        </w:rPr>
        <w:t xml:space="preserve"> </w:t>
      </w:r>
    </w:p>
    <w:p>
      <w:pPr>
        <w:widowControl/>
        <w:jc w:val="center"/>
        <w:textAlignment w:val="baseline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2021年职业院校劳动教育“三教”改革研讨会</w:t>
      </w:r>
    </w:p>
    <w:p>
      <w:pPr>
        <w:widowControl/>
        <w:jc w:val="center"/>
        <w:textAlignment w:val="baseline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会议日程</w:t>
      </w:r>
    </w:p>
    <w:p>
      <w:pPr>
        <w:widowControl/>
        <w:jc w:val="center"/>
        <w:textAlignment w:val="baseline"/>
        <w:rPr>
          <w:rFonts w:ascii="楷体" w:hAnsi="楷体" w:eastAsia="楷体"/>
          <w:b/>
          <w:sz w:val="32"/>
          <w:szCs w:val="32"/>
        </w:rPr>
      </w:pPr>
    </w:p>
    <w:tbl>
      <w:tblPr>
        <w:tblStyle w:val="3"/>
        <w:tblW w:w="12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4"/>
        <w:gridCol w:w="5670"/>
        <w:gridCol w:w="241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1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 xml:space="preserve">时 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间</w:t>
            </w:r>
          </w:p>
        </w:tc>
        <w:tc>
          <w:tcPr>
            <w:tcW w:w="5670" w:type="dxa"/>
            <w:vAlign w:val="center"/>
          </w:tcPr>
          <w:p>
            <w:pPr>
              <w:ind w:firstLine="480" w:firstLineChars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>活动安排</w:t>
            </w:r>
          </w:p>
        </w:tc>
        <w:tc>
          <w:tcPr>
            <w:tcW w:w="2410" w:type="dxa"/>
            <w:vAlign w:val="center"/>
          </w:tcPr>
          <w:p>
            <w:pPr>
              <w:ind w:firstLine="480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>地   点</w:t>
            </w:r>
          </w:p>
        </w:tc>
        <w:tc>
          <w:tcPr>
            <w:tcW w:w="1423" w:type="dxa"/>
            <w:vAlign w:val="center"/>
          </w:tcPr>
          <w:p>
            <w:pPr>
              <w:ind w:firstLine="480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Align w:val="center"/>
          </w:tcPr>
          <w:p>
            <w:r>
              <w:rPr>
                <w:rFonts w:hint="eastAsia"/>
              </w:rPr>
              <w:t>4月8日 全天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参会代表报到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维也纳国际酒店大堂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4月9日</w:t>
            </w:r>
          </w:p>
        </w:tc>
        <w:tc>
          <w:tcPr>
            <w:tcW w:w="1554" w:type="dxa"/>
            <w:vAlign w:val="center"/>
          </w:tcPr>
          <w:p>
            <w:r>
              <w:rPr>
                <w:rFonts w:hint="eastAsia"/>
              </w:rPr>
              <w:t>8:30—9: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参会代表报到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西南政法大学</w:t>
            </w:r>
            <w:r>
              <w:t>三教一楼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r>
              <w:rPr>
                <w:rFonts w:hint="eastAsia"/>
              </w:rPr>
              <w:t>4月9日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上午</w:t>
            </w: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r>
              <w:rPr>
                <w:rFonts w:hint="eastAsia"/>
              </w:rPr>
              <w:t>9:</w:t>
            </w:r>
            <w:r>
              <w:t>0</w:t>
            </w:r>
            <w:r>
              <w:rPr>
                <w:rFonts w:hint="eastAsia"/>
              </w:rPr>
              <w:t>0—9:</w:t>
            </w:r>
            <w:r>
              <w:t>45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开幕致辞 </w:t>
            </w:r>
          </w:p>
          <w:p>
            <w:pPr>
              <w:jc w:val="left"/>
            </w:pPr>
            <w:r>
              <w:rPr>
                <w:rFonts w:hint="eastAsia"/>
              </w:rPr>
              <w:t>西南政法大学校领导致辞</w:t>
            </w:r>
          </w:p>
          <w:p>
            <w:pPr>
              <w:adjustRightInd w:val="0"/>
              <w:snapToGrid w:val="0"/>
              <w:jc w:val="left"/>
            </w:pPr>
            <w:r>
              <w:rPr>
                <w:rFonts w:hint="eastAsia" w:ascii="宋体" w:hAnsi="宋体" w:cs="宋体"/>
                <w:szCs w:val="21"/>
              </w:rPr>
              <w:t>高等教育出版社上海事业部主任</w:t>
            </w:r>
            <w:r>
              <w:rPr>
                <w:rFonts w:hint="eastAsia"/>
              </w:rPr>
              <w:t>孔全会致辞</w:t>
            </w:r>
          </w:p>
          <w:p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重庆市教委高教处领导讲话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sz w:val="28"/>
                <w:szCs w:val="28"/>
              </w:rPr>
            </w:pPr>
            <w:bookmarkStart w:id="0" w:name="_Hlk67051877"/>
            <w:r>
              <w:rPr>
                <w:rFonts w:hint="eastAsia"/>
              </w:rPr>
              <w:t>西南政法大学</w:t>
            </w:r>
            <w:r>
              <w:t>三教一楼学术报告厅</w:t>
            </w:r>
            <w:bookmarkEnd w:id="0"/>
          </w:p>
        </w:tc>
        <w:tc>
          <w:tcPr>
            <w:tcW w:w="142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严欣平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重庆市高等教育学会会长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</w:tcPr>
          <w:p>
            <w:pPr>
              <w:ind w:firstLine="420" w:firstLineChars="200"/>
            </w:pPr>
          </w:p>
        </w:tc>
        <w:tc>
          <w:tcPr>
            <w:tcW w:w="1554" w:type="dxa"/>
          </w:tcPr>
          <w:p/>
          <w:p>
            <w:r>
              <w:t>9</w:t>
            </w:r>
            <w:r>
              <w:rPr>
                <w:rFonts w:hint="eastAsia"/>
              </w:rPr>
              <w:t>:</w:t>
            </w:r>
            <w:r>
              <w:t>45</w:t>
            </w:r>
            <w:r>
              <w:rPr>
                <w:rFonts w:hint="eastAsia"/>
              </w:rPr>
              <w:t>—1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5670" w:type="dxa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专家报告</w:t>
            </w:r>
            <w:r>
              <w:rPr>
                <w:rFonts w:hint="eastAsia"/>
              </w:rPr>
              <w:t xml:space="preserve">——劳动教育与创新 </w:t>
            </w:r>
            <w:r>
              <w:t xml:space="preserve">  </w:t>
            </w:r>
            <w:r>
              <w:rPr>
                <w:rFonts w:hint="eastAsia"/>
              </w:rPr>
              <w:t>卢晓东，北京大学教育学院，教授博导</w:t>
            </w:r>
          </w:p>
        </w:tc>
        <w:tc>
          <w:tcPr>
            <w:tcW w:w="2410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</w:tcPr>
          <w:p>
            <w:pPr>
              <w:ind w:firstLine="420" w:firstLineChars="200"/>
            </w:pPr>
          </w:p>
        </w:tc>
        <w:tc>
          <w:tcPr>
            <w:tcW w:w="1554" w:type="dxa"/>
          </w:tcPr>
          <w:p/>
          <w:p>
            <w:r>
              <w:t>10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0—1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5670" w:type="dxa"/>
          </w:tcPr>
          <w:p>
            <w:pPr>
              <w:jc w:val="left"/>
            </w:pPr>
            <w:r>
              <w:rPr>
                <w:rFonts w:hint="eastAsia"/>
                <w:b/>
                <w:bCs/>
              </w:rPr>
              <w:t>专家报告</w:t>
            </w:r>
            <w:r>
              <w:rPr>
                <w:rFonts w:hint="eastAsia"/>
              </w:rPr>
              <w:t>——职业院校劳动教育“三教”改革探索与实践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王官成，教育部职业院校文化素质教指委副主任、重庆工业职业技术学院党委书记、教授</w:t>
            </w:r>
          </w:p>
        </w:tc>
        <w:tc>
          <w:tcPr>
            <w:tcW w:w="2410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60" w:type="dxa"/>
            <w:vMerge w:val="continue"/>
          </w:tcPr>
          <w:p>
            <w:pPr>
              <w:ind w:firstLine="420" w:firstLineChars="200"/>
            </w:pPr>
          </w:p>
        </w:tc>
        <w:tc>
          <w:tcPr>
            <w:tcW w:w="1554" w:type="dxa"/>
          </w:tcPr>
          <w:p>
            <w:r>
              <w:t>11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0—1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5670" w:type="dxa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会间休息</w:t>
            </w:r>
          </w:p>
        </w:tc>
        <w:tc>
          <w:tcPr>
            <w:tcW w:w="2410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</w:tcPr>
          <w:p>
            <w:pPr>
              <w:ind w:firstLine="420" w:firstLineChars="200"/>
            </w:pPr>
          </w:p>
        </w:tc>
        <w:tc>
          <w:tcPr>
            <w:tcW w:w="1554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1</w:t>
            </w:r>
            <w:r>
              <w:rPr>
                <w:rFonts w:hint="eastAsia"/>
              </w:rPr>
              <w:t>0—1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5670" w:type="dxa"/>
          </w:tcPr>
          <w:p>
            <w:r>
              <w:rPr>
                <w:rFonts w:hint="eastAsia"/>
                <w:b/>
                <w:bCs/>
              </w:rPr>
              <w:t>案例分享</w:t>
            </w:r>
            <w:r>
              <w:rPr>
                <w:rFonts w:hint="eastAsia"/>
              </w:rPr>
              <w:t>——柳友荣：池州学院校长，教授，博导</w:t>
            </w:r>
          </w:p>
        </w:tc>
        <w:tc>
          <w:tcPr>
            <w:tcW w:w="2410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</w:tcPr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</w:tcPr>
          <w:p/>
          <w:p>
            <w:r>
              <w:rPr>
                <w:rFonts w:hint="eastAsia"/>
              </w:rPr>
              <w:t>11:</w:t>
            </w:r>
            <w:r>
              <w:t>3</w:t>
            </w:r>
            <w:r>
              <w:rPr>
                <w:rFonts w:hint="eastAsia"/>
              </w:rPr>
              <w:t>0—1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670" w:type="dxa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高校工作交流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陕西铁路工程职业技术学院院长王津</w:t>
            </w:r>
          </w:p>
          <w:p>
            <w:pPr>
              <w:jc w:val="left"/>
            </w:pPr>
            <w:r>
              <w:rPr>
                <w:rFonts w:hint="eastAsia"/>
              </w:rPr>
              <w:t>西南大学教务处处长吴能表</w:t>
            </w:r>
          </w:p>
        </w:tc>
        <w:tc>
          <w:tcPr>
            <w:tcW w:w="2410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60" w:type="dxa"/>
          </w:tcPr>
          <w:p>
            <w:r>
              <w:rPr>
                <w:rFonts w:hint="eastAsia"/>
              </w:rPr>
              <w:t>4月9日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中午</w:t>
            </w:r>
          </w:p>
        </w:tc>
        <w:tc>
          <w:tcPr>
            <w:tcW w:w="1554" w:type="dxa"/>
          </w:tcPr>
          <w:p>
            <w:r>
              <w:rPr>
                <w:rFonts w:hint="eastAsia"/>
              </w:rPr>
              <w:t>12:00—13:30</w:t>
            </w:r>
          </w:p>
        </w:tc>
        <w:tc>
          <w:tcPr>
            <w:tcW w:w="9503" w:type="dxa"/>
            <w:gridSpan w:val="3"/>
          </w:tcPr>
          <w:p>
            <w:pPr>
              <w:ind w:firstLine="2100" w:firstLineChars="10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工作午餐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r>
              <w:rPr>
                <w:rFonts w:hint="eastAsia"/>
              </w:rPr>
              <w:t>4月9日</w:t>
            </w:r>
          </w:p>
          <w:p>
            <w:pPr>
              <w:ind w:firstLine="210" w:firstLineChars="1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下午</w:t>
            </w:r>
          </w:p>
        </w:tc>
        <w:tc>
          <w:tcPr>
            <w:tcW w:w="1554" w:type="dxa"/>
            <w:vMerge w:val="restart"/>
          </w:tcPr>
          <w:p/>
          <w:p/>
          <w:p/>
          <w:p/>
          <w:p/>
          <w:p>
            <w:r>
              <w:rPr>
                <w:rFonts w:hint="eastAsia"/>
              </w:rPr>
              <w:t>14:00—1</w:t>
            </w:r>
            <w:r>
              <w:t>7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670" w:type="dxa"/>
            <w:vAlign w:val="center"/>
          </w:tcPr>
          <w:p/>
          <w:p>
            <w:r>
              <w:rPr>
                <w:rFonts w:hint="eastAsia"/>
              </w:rPr>
              <w:t>分组讨论一：本科劳动教育</w:t>
            </w:r>
            <w:r>
              <w:t>课程教学与实践</w:t>
            </w:r>
          </w:p>
        </w:tc>
        <w:tc>
          <w:tcPr>
            <w:tcW w:w="2410" w:type="dxa"/>
          </w:tcPr>
          <w:p/>
          <w:p>
            <w:r>
              <w:rPr>
                <w:rFonts w:hint="eastAsia"/>
              </w:rPr>
              <w:t>西南政法大学</w:t>
            </w:r>
            <w:r>
              <w:t>勤业楼第一会议室</w:t>
            </w:r>
          </w:p>
        </w:tc>
        <w:tc>
          <w:tcPr>
            <w:tcW w:w="1423" w:type="dxa"/>
          </w:tcPr>
          <w:p>
            <w:r>
              <w:rPr>
                <w:rFonts w:hint="eastAsia"/>
              </w:rPr>
              <w:t>孙振东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西南大学劳动教育研究院院长、教授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560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分组讨论二：高职劳动教育</w:t>
            </w:r>
            <w:r>
              <w:t>课程教学与实践</w:t>
            </w:r>
          </w:p>
          <w:p/>
        </w:tc>
        <w:tc>
          <w:tcPr>
            <w:tcW w:w="2410" w:type="dxa"/>
          </w:tcPr>
          <w:p/>
          <w:p/>
          <w:p>
            <w:r>
              <w:rPr>
                <w:rFonts w:hint="eastAsia"/>
              </w:rPr>
              <w:t>西南政法大学</w:t>
            </w:r>
            <w:r>
              <w:t>勤业楼第二会议室</w:t>
            </w:r>
          </w:p>
        </w:tc>
        <w:tc>
          <w:tcPr>
            <w:tcW w:w="1423" w:type="dxa"/>
          </w:tcPr>
          <w:p>
            <w:r>
              <w:rPr>
                <w:rFonts w:hint="eastAsia"/>
              </w:rPr>
              <w:t>王官成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教育部职业院校文化素质教指委副主任、重庆工业职业技术学院党委书记、教授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60" w:type="dxa"/>
          </w:tcPr>
          <w:p>
            <w:r>
              <w:rPr>
                <w:rFonts w:hint="eastAsia"/>
              </w:rPr>
              <w:t>4月9日</w:t>
            </w:r>
          </w:p>
          <w:p>
            <w:pPr>
              <w:ind w:firstLine="210" w:firstLineChars="1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晚上</w:t>
            </w:r>
          </w:p>
        </w:tc>
        <w:tc>
          <w:tcPr>
            <w:tcW w:w="1554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:30—18:30</w:t>
            </w:r>
          </w:p>
        </w:tc>
        <w:tc>
          <w:tcPr>
            <w:tcW w:w="9503" w:type="dxa"/>
            <w:gridSpan w:val="3"/>
            <w:vAlign w:val="center"/>
          </w:tcPr>
          <w:p>
            <w:pPr>
              <w:ind w:firstLine="2100" w:firstLineChars="1000"/>
            </w:pPr>
            <w:r>
              <w:rPr>
                <w:rFonts w:hint="eastAsia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11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4月10日</w:t>
            </w:r>
          </w:p>
        </w:tc>
        <w:tc>
          <w:tcPr>
            <w:tcW w:w="9503" w:type="dxa"/>
            <w:gridSpan w:val="3"/>
            <w:vAlign w:val="center"/>
          </w:tcPr>
          <w:p>
            <w:pPr>
              <w:ind w:firstLine="2100" w:firstLineChars="1000"/>
            </w:pPr>
            <w:r>
              <w:rPr>
                <w:rFonts w:hint="eastAsia"/>
              </w:rPr>
              <w:t>离会</w:t>
            </w:r>
          </w:p>
        </w:tc>
      </w:tr>
    </w:tbl>
    <w:p>
      <w:pPr>
        <w:ind w:firstLine="3092" w:firstLineChars="1100"/>
        <w:rPr>
          <w:b/>
          <w:bCs/>
          <w:sz w:val="28"/>
          <w:szCs w:val="28"/>
        </w:rPr>
      </w:pPr>
    </w:p>
    <w:p>
      <w:pPr>
        <w:spacing w:line="360" w:lineRule="exact"/>
        <w:ind w:right="-108"/>
        <w:textAlignment w:val="baseline"/>
        <w:rPr>
          <w:b/>
          <w:sz w:val="32"/>
          <w:szCs w:val="32"/>
        </w:rPr>
      </w:pPr>
    </w:p>
    <w:p>
      <w:bookmarkStart w:id="1" w:name="_GoBack"/>
      <w:bookmarkEnd w:id="1"/>
    </w:p>
    <w:sectPr>
      <w:endnotePr>
        <w:numFmt w:val="decimal"/>
      </w:endnotePr>
      <w:pgSz w:w="16838" w:h="11906" w:orient="landscape"/>
      <w:pgMar w:top="1797" w:right="1440" w:bottom="17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245E1"/>
    <w:rsid w:val="66A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2021-03-26T01:28:00Z</dcterms:created>
  <dc:creator>Gzj.</dc:creator>
  <cp:lastModifiedBy>Gzj.</cp:lastModifiedBy>
  <dcterms:modified xsi:type="dcterms:W3CDTF">2021-03-26T01:28:48Z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