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参会回执</w:t>
      </w:r>
    </w:p>
    <w:tbl>
      <w:tblPr>
        <w:tblStyle w:val="3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99"/>
        <w:gridCol w:w="1701"/>
        <w:gridCol w:w="1153"/>
        <w:gridCol w:w="811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2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2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参会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住宿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酒店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58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开封维也纳国际酒店（清明上河园店）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房型选择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□单人间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（标准260元/天）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□双人间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（标准260元/天）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住宿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58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2021年4月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—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交通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723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抵达方式 □飞机   □高铁   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到达站点   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车次（航班号）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抵达时间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返程方式 □飞机   □高铁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返程时间及站点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注：请准确、完整填写回执，以“××</w:t>
      </w:r>
      <w:r>
        <w:rPr>
          <w:rFonts w:ascii="仿宋" w:hAnsi="仿宋" w:eastAsia="仿宋"/>
          <w:sz w:val="28"/>
          <w:szCs w:val="28"/>
        </w:rPr>
        <w:t>院校（单位）参会回执”命名文档，4月16日前将回执发送到zyyxmykc@163.com邮箱。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37D8C"/>
    <w:rsid w:val="5163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2021-03-26T08:48:00Z</dcterms:created>
  <dc:creator>Gzj.</dc:creator>
  <cp:lastModifiedBy>Gzj.</cp:lastModifiedBy>
  <dcterms:modified xsi:type="dcterms:W3CDTF">2021-03-26T08:48:17Z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